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92618" cy="5577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618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61"/>
        <w:rPr>
          <w:rFonts w:ascii="Times New Roman"/>
        </w:rPr>
      </w:pPr>
    </w:p>
    <w:p>
      <w:pPr>
        <w:pStyle w:val="Heading1"/>
        <w:tabs>
          <w:tab w:pos="1559" w:val="left" w:leader="none"/>
        </w:tabs>
        <w:spacing w:line="480" w:lineRule="auto"/>
        <w:ind w:right="4764"/>
        <w:rPr>
          <w:u w:val="none"/>
        </w:rPr>
      </w:pPr>
      <w:r>
        <w:rPr>
          <w:spacing w:val="-2"/>
          <w:u w:val="none"/>
        </w:rPr>
        <w:t>DATE:</w:t>
      </w:r>
      <w:r>
        <w:rPr>
          <w:u w:val="none"/>
        </w:rPr>
        <w:tab/>
        <w:t>October 2, 2024 </w:t>
      </w:r>
      <w:r>
        <w:rPr>
          <w:u w:val="single"/>
        </w:rPr>
        <w:t>OPERATIONS</w:t>
      </w:r>
      <w:r>
        <w:rPr>
          <w:spacing w:val="-13"/>
          <w:u w:val="single"/>
        </w:rPr>
        <w:t> </w:t>
      </w:r>
      <w:r>
        <w:rPr>
          <w:u w:val="single"/>
        </w:rPr>
        <w:t>MEMORANDUM</w:t>
      </w:r>
      <w:r>
        <w:rPr>
          <w:spacing w:val="40"/>
          <w:u w:val="single"/>
        </w:rPr>
        <w:t> </w:t>
      </w:r>
      <w:r>
        <w:rPr>
          <w:u w:val="single"/>
        </w:rPr>
        <w:t>#24-10-01</w:t>
      </w:r>
    </w:p>
    <w:p>
      <w:pPr>
        <w:pStyle w:val="BodyText"/>
        <w:tabs>
          <w:tab w:pos="1559" w:val="left" w:leader="none"/>
        </w:tabs>
        <w:ind w:left="1560" w:right="266" w:hanging="1440"/>
      </w:pPr>
      <w:r>
        <w:rPr>
          <w:b/>
          <w:spacing w:val="-2"/>
        </w:rPr>
        <w:t>SUBJECT:</w:t>
      </w:r>
      <w:r>
        <w:rPr>
          <w:b/>
        </w:rPr>
        <w:tab/>
      </w:r>
      <w:r>
        <w:rPr/>
        <w:t>Exclusion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Veterans’</w:t>
      </w:r>
      <w:r>
        <w:rPr>
          <w:spacing w:val="-4"/>
        </w:rPr>
        <w:t> </w:t>
      </w:r>
      <w:r>
        <w:rPr/>
        <w:t>Benefit</w:t>
      </w:r>
      <w:r>
        <w:rPr>
          <w:spacing w:val="-3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Income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for Commonwealth Programs</w:t>
      </w:r>
    </w:p>
    <w:p>
      <w:pPr>
        <w:pStyle w:val="BodyText"/>
      </w:pPr>
    </w:p>
    <w:p>
      <w:pPr>
        <w:pStyle w:val="BodyText"/>
        <w:tabs>
          <w:tab w:pos="1559" w:val="left" w:leader="none"/>
        </w:tabs>
        <w:ind w:left="120"/>
      </w:pPr>
      <w:r>
        <w:rPr>
          <w:b/>
          <w:spacing w:val="-5"/>
        </w:rPr>
        <w:t>TO:</w:t>
      </w:r>
      <w:r>
        <w:rPr>
          <w:b/>
        </w:rPr>
        <w:tab/>
      </w:r>
      <w:r>
        <w:rPr/>
        <w:t>Executive</w:t>
      </w:r>
      <w:r>
        <w:rPr>
          <w:spacing w:val="-3"/>
        </w:rPr>
        <w:t> </w:t>
      </w:r>
      <w:r>
        <w:rPr>
          <w:spacing w:val="-2"/>
        </w:rPr>
        <w:t>Directors</w:t>
      </w:r>
    </w:p>
    <w:p>
      <w:pPr>
        <w:pStyle w:val="BodyText"/>
      </w:pPr>
    </w:p>
    <w:p>
      <w:pPr>
        <w:tabs>
          <w:tab w:pos="1574" w:val="left" w:leader="none"/>
        </w:tabs>
        <w:spacing w:before="0"/>
        <w:ind w:left="1560" w:right="6484" w:hanging="1440"/>
        <w:jc w:val="left"/>
        <w:rPr>
          <w:sz w:val="24"/>
        </w:rPr>
      </w:pPr>
      <w:r>
        <w:rPr>
          <w:b/>
          <w:spacing w:val="-2"/>
          <w:sz w:val="24"/>
        </w:rPr>
        <w:t>FROM:</w:t>
      </w:r>
      <w:r>
        <w:rPr>
          <w:b/>
          <w:sz w:val="24"/>
        </w:rPr>
        <w:tab/>
        <w:tab/>
      </w:r>
      <w:r>
        <w:rPr>
          <w:sz w:val="24"/>
        </w:rPr>
        <w:t>Robert</w:t>
      </w:r>
      <w:r>
        <w:rPr>
          <w:spacing w:val="-17"/>
          <w:sz w:val="24"/>
        </w:rPr>
        <w:t> </w:t>
      </w:r>
      <w:r>
        <w:rPr>
          <w:sz w:val="24"/>
        </w:rPr>
        <w:t>Hixson </w:t>
      </w:r>
      <w:r>
        <w:rPr>
          <w:spacing w:val="-2"/>
          <w:sz w:val="24"/>
        </w:rPr>
        <w:t>Director</w:t>
      </w:r>
    </w:p>
    <w:p>
      <w:pPr>
        <w:pStyle w:val="BodyText"/>
        <w:ind w:left="1560"/>
      </w:pPr>
      <w:r>
        <w:rPr/>
        <w:t>Bureau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Operations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PURPOSE</w:t>
      </w:r>
    </w:p>
    <w:p>
      <w:pPr>
        <w:pStyle w:val="BodyText"/>
        <w:spacing w:before="276"/>
        <w:ind w:left="119" w:right="182" w:firstLine="720"/>
      </w:pPr>
      <w:r>
        <w:rPr/>
        <w:t>To</w:t>
      </w:r>
      <w:r>
        <w:rPr>
          <w:spacing w:val="-4"/>
        </w:rPr>
        <w:t> </w:t>
      </w:r>
      <w:r>
        <w:rPr/>
        <w:t>inform</w:t>
      </w:r>
      <w:r>
        <w:rPr>
          <w:spacing w:val="-5"/>
        </w:rPr>
        <w:t> </w:t>
      </w:r>
      <w:r>
        <w:rPr/>
        <w:t>County</w:t>
      </w:r>
      <w:r>
        <w:rPr>
          <w:spacing w:val="-4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Offices</w:t>
      </w:r>
      <w:r>
        <w:rPr>
          <w:spacing w:val="-4"/>
        </w:rPr>
        <w:t> </w:t>
      </w:r>
      <w:r>
        <w:rPr/>
        <w:t>(CAOs)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veterans’</w:t>
      </w:r>
      <w:r>
        <w:rPr>
          <w:spacing w:val="-4"/>
        </w:rPr>
        <w:t> </w:t>
      </w:r>
      <w:r>
        <w:rPr/>
        <w:t>benefit</w:t>
      </w:r>
      <w:r>
        <w:rPr>
          <w:spacing w:val="-2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will be excluded as income and resources for all Commonwealth programs funded in full with state funds.</w:t>
      </w:r>
    </w:p>
    <w:p>
      <w:pPr>
        <w:pStyle w:val="Heading1"/>
        <w:spacing w:before="276"/>
        <w:ind w:left="119"/>
        <w:rPr>
          <w:u w:val="none"/>
        </w:rPr>
      </w:pPr>
      <w:r>
        <w:rPr>
          <w:spacing w:val="-2"/>
          <w:u w:val="single"/>
        </w:rPr>
        <w:t>BACKGROUND</w:t>
      </w:r>
    </w:p>
    <w:p>
      <w:pPr>
        <w:pStyle w:val="BodyText"/>
        <w:spacing w:before="276"/>
        <w:ind w:left="120" w:right="119" w:firstLine="720"/>
      </w:pPr>
      <w:r>
        <w:rPr/>
        <w:t>Act 27</w:t>
      </w:r>
      <w:r>
        <w:rPr>
          <w:spacing w:val="-1"/>
        </w:rPr>
        <w:t> </w:t>
      </w:r>
      <w:r>
        <w:rPr/>
        <w:t>of 2024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17, 2024,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effect 60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from the</w:t>
      </w:r>
      <w:r>
        <w:rPr>
          <w:spacing w:val="-3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date.</w:t>
      </w:r>
      <w:r>
        <w:rPr>
          <w:spacing w:val="40"/>
        </w:rPr>
        <w:t> </w:t>
      </w:r>
      <w:r>
        <w:rPr/>
        <w:t>It</w:t>
      </w:r>
      <w:r>
        <w:rPr>
          <w:spacing w:val="-4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hundred</w:t>
      </w:r>
      <w:r>
        <w:rPr>
          <w:spacing w:val="-3"/>
        </w:rPr>
        <w:t> </w:t>
      </w:r>
      <w:r>
        <w:rPr/>
        <w:t>percent</w:t>
      </w:r>
      <w:r>
        <w:rPr>
          <w:spacing w:val="-4"/>
        </w:rPr>
        <w:t> </w:t>
      </w:r>
      <w:r>
        <w:rPr/>
        <w:t>exclusion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veterans’</w:t>
      </w:r>
      <w:r>
        <w:rPr>
          <w:spacing w:val="-3"/>
        </w:rPr>
        <w:t> </w:t>
      </w:r>
      <w:r>
        <w:rPr/>
        <w:t>benefit payments from income and resources for all Commonwealth programs funded in full with state funds.</w:t>
      </w:r>
    </w:p>
    <w:p>
      <w:pPr>
        <w:pStyle w:val="BodyText"/>
      </w:pPr>
    </w:p>
    <w:p>
      <w:pPr>
        <w:pStyle w:val="BodyText"/>
        <w:ind w:left="120" w:right="119" w:firstLine="720"/>
      </w:pPr>
      <w:r>
        <w:rPr/>
        <w:t>Veterans’</w:t>
      </w:r>
      <w:r>
        <w:rPr>
          <w:spacing w:val="-4"/>
        </w:rPr>
        <w:t> </w:t>
      </w:r>
      <w:r>
        <w:rPr/>
        <w:t>benefit</w:t>
      </w:r>
      <w:r>
        <w:rPr>
          <w:spacing w:val="-3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defined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compensation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by a veteran that is directly related to or the result of the veteran’s service-connected disability as determined by the United States Department of Veterans Affairs or veterans’ benefits provided to a veteran by a Commonwealth agency or authorized under the laws of this Commonwealth.</w:t>
      </w:r>
      <w:r>
        <w:rPr>
          <w:spacing w:val="40"/>
        </w:rPr>
        <w:t> </w:t>
      </w:r>
      <w:r>
        <w:rPr/>
        <w:t>This exclusion shall also apply to veterans’ benefit payments</w:t>
      </w:r>
      <w:r>
        <w:rPr>
          <w:spacing w:val="-1"/>
        </w:rPr>
        <w:t> </w:t>
      </w:r>
      <w:r>
        <w:rPr/>
        <w:t>paid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death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veteran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surviving</w:t>
      </w:r>
      <w:r>
        <w:rPr>
          <w:spacing w:val="-1"/>
        </w:rPr>
        <w:t> </w:t>
      </w:r>
      <w:r>
        <w:rPr/>
        <w:t>spouse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remains unmarried for any compensation or payment the unmarried surviving spouse is entitled to receive.</w:t>
      </w:r>
      <w:r>
        <w:rPr>
          <w:spacing w:val="40"/>
        </w:rPr>
        <w:t> </w:t>
      </w:r>
      <w:r>
        <w:rPr/>
        <w:t>The exclusion of veterans’ benefit payments does not apply to the federally- funded programs Temporary Assistance for</w:t>
      </w:r>
      <w:r>
        <w:rPr>
          <w:spacing w:val="-1"/>
        </w:rPr>
        <w:t> </w:t>
      </w:r>
      <w:r>
        <w:rPr/>
        <w:t>Needy Families, the Supplemental Nutrition Assistance Program, non-Modified Adjusted Gross Income (MAGI) Medical Assistance (MA) categories, the Children’s Health Insurance Program, Long-Term Care, or the</w:t>
      </w:r>
    </w:p>
    <w:p>
      <w:pPr>
        <w:pStyle w:val="BodyText"/>
        <w:ind w:left="120"/>
      </w:pPr>
      <w:r>
        <w:rPr/>
        <w:t>Low-Income</w:t>
      </w:r>
      <w:r>
        <w:rPr>
          <w:spacing w:val="-4"/>
        </w:rPr>
        <w:t> </w:t>
      </w:r>
      <w:r>
        <w:rPr/>
        <w:t>Home</w:t>
      </w:r>
      <w:r>
        <w:rPr>
          <w:spacing w:val="-4"/>
        </w:rPr>
        <w:t> </w:t>
      </w:r>
      <w:r>
        <w:rPr/>
        <w:t>Energy</w:t>
      </w:r>
      <w:r>
        <w:rPr>
          <w:spacing w:val="-4"/>
        </w:rPr>
        <w:t> </w:t>
      </w:r>
      <w:r>
        <w:rPr/>
        <w:t>Assistance</w:t>
      </w:r>
      <w:r>
        <w:rPr>
          <w:spacing w:val="-3"/>
        </w:rPr>
        <w:t> </w:t>
      </w:r>
      <w:r>
        <w:rPr>
          <w:spacing w:val="-2"/>
        </w:rPr>
        <w:t>Program.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"/>
        <w:rPr>
          <w:sz w:val="16"/>
        </w:rPr>
      </w:pPr>
    </w:p>
    <w:p>
      <w:pPr>
        <w:spacing w:line="195" w:lineRule="exact" w:before="1"/>
        <w:ind w:left="20" w:right="2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Department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Human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Services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|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Office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Income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pacing w:val="-2"/>
          <w:sz w:val="16"/>
        </w:rPr>
        <w:t>Maintenance</w:t>
      </w:r>
    </w:p>
    <w:p>
      <w:pPr>
        <w:spacing w:line="195" w:lineRule="exact" w:before="0"/>
        <w:ind w:left="20" w:right="0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433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Health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and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Human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Services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Building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|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Harrisburg,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PA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17120</w:t>
      </w:r>
      <w:r>
        <w:rPr>
          <w:rFonts w:ascii="Calibri"/>
          <w:spacing w:val="-5"/>
          <w:sz w:val="16"/>
        </w:rPr>
        <w:t> </w:t>
      </w:r>
      <w:hyperlink r:id="rId6">
        <w:r>
          <w:rPr>
            <w:rFonts w:ascii="Calibri"/>
            <w:spacing w:val="-2"/>
            <w:sz w:val="16"/>
          </w:rPr>
          <w:t>www.dhs.pa.gov</w:t>
        </w:r>
      </w:hyperlink>
    </w:p>
    <w:p>
      <w:pPr>
        <w:spacing w:after="0" w:line="195" w:lineRule="exact"/>
        <w:jc w:val="center"/>
        <w:rPr>
          <w:rFonts w:ascii="Calibri"/>
          <w:sz w:val="16"/>
        </w:rPr>
        <w:sectPr>
          <w:type w:val="continuous"/>
          <w:pgSz w:w="12240" w:h="15840"/>
          <w:pgMar w:top="720" w:bottom="280" w:left="1320" w:right="1340"/>
        </w:sectPr>
      </w:pPr>
    </w:p>
    <w:p>
      <w:pPr>
        <w:pStyle w:val="BodyText"/>
        <w:tabs>
          <w:tab w:pos="4653" w:val="left" w:leader="none"/>
        </w:tabs>
        <w:spacing w:before="80"/>
        <w:ind w:left="120"/>
      </w:pPr>
      <w:r>
        <w:rPr/>
        <w:t>Executive</w:t>
      </w:r>
      <w:r>
        <w:rPr>
          <w:spacing w:val="-3"/>
        </w:rPr>
        <w:t> </w:t>
      </w:r>
      <w:r>
        <w:rPr>
          <w:spacing w:val="-2"/>
        </w:rPr>
        <w:t>Directors</w:t>
      </w:r>
      <w:r>
        <w:rPr/>
        <w:tab/>
        <w:t>-</w:t>
      </w:r>
      <w:r>
        <w:rPr>
          <w:spacing w:val="-5"/>
        </w:rPr>
        <w:t>2-</w:t>
      </w:r>
    </w:p>
    <w:p>
      <w:pPr>
        <w:pStyle w:val="BodyText"/>
        <w:spacing w:before="230"/>
      </w:pP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DISCUSSION</w:t>
      </w:r>
    </w:p>
    <w:p>
      <w:pPr>
        <w:pStyle w:val="BodyText"/>
        <w:spacing w:before="276"/>
        <w:ind w:left="119" w:right="182" w:firstLine="720"/>
      </w:pPr>
      <w:r>
        <w:rPr/>
        <w:t>Veterans’</w:t>
      </w:r>
      <w:r>
        <w:rPr>
          <w:spacing w:val="-4"/>
        </w:rPr>
        <w:t> </w:t>
      </w:r>
      <w:r>
        <w:rPr/>
        <w:t>benefit</w:t>
      </w:r>
      <w:r>
        <w:rPr>
          <w:spacing w:val="-3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excluded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income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beginning with the month of August 2024 for State Supplementary Payment (SSP)-Only categories (A/J/M 44) and State Blind Pension (SBP 80 and 00).</w:t>
      </w:r>
      <w:r>
        <w:rPr>
          <w:spacing w:val="80"/>
        </w:rPr>
        <w:t> </w:t>
      </w:r>
      <w:r>
        <w:rPr/>
        <w:t>Act 27 will also provide an income and resource exclusion for General Assistance (GA)-related categories (PD and TD) and the Medical Assistance for Workers with Disabilities (MAWD) Workers with Job Success (WJS) categories (PW/PI 01, 02, and 03).</w:t>
      </w:r>
    </w:p>
    <w:p>
      <w:pPr>
        <w:pStyle w:val="BodyText"/>
        <w:spacing w:before="275"/>
        <w:ind w:left="119" w:right="119" w:firstLine="720"/>
      </w:pPr>
      <w:r>
        <w:rPr/>
        <w:t>Veterans’ benefit payments are currently excluded as income for MAGI MA categories.</w:t>
      </w:r>
      <w:r>
        <w:rPr>
          <w:spacing w:val="40"/>
        </w:rPr>
        <w:t> </w:t>
      </w:r>
      <w:r>
        <w:rPr/>
        <w:t>Veteran’s</w:t>
      </w:r>
      <w:r>
        <w:rPr>
          <w:spacing w:val="-4"/>
        </w:rPr>
        <w:t> </w:t>
      </w:r>
      <w:r>
        <w:rPr/>
        <w:t>benefit</w:t>
      </w:r>
      <w:r>
        <w:rPr>
          <w:spacing w:val="-3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counted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non- MAGI MA categories.</w:t>
      </w:r>
    </w:p>
    <w:p>
      <w:pPr>
        <w:pStyle w:val="Heading1"/>
        <w:spacing w:before="276"/>
        <w:ind w:left="119"/>
        <w:rPr>
          <w:u w:val="none"/>
        </w:rPr>
      </w:pPr>
      <w:r>
        <w:rPr>
          <w:spacing w:val="-2"/>
          <w:u w:val="single"/>
        </w:rPr>
        <w:t>PROCEDURES</w:t>
      </w:r>
    </w:p>
    <w:p>
      <w:pPr>
        <w:pStyle w:val="BodyText"/>
        <w:rPr>
          <w:b/>
        </w:rPr>
      </w:pPr>
    </w:p>
    <w:p>
      <w:pPr>
        <w:pStyle w:val="BodyText"/>
        <w:ind w:left="119" w:right="130" w:firstLine="720"/>
      </w:pPr>
      <w:r>
        <w:rPr/>
        <w:t>Veterans’ benefit payments will be excluded as income and resources from Central</w:t>
      </w:r>
      <w:r>
        <w:rPr>
          <w:spacing w:val="-4"/>
        </w:rPr>
        <w:t> </w:t>
      </w:r>
      <w:r>
        <w:rPr/>
        <w:t>Unit</w:t>
      </w:r>
      <w:r>
        <w:rPr>
          <w:spacing w:val="-3"/>
        </w:rPr>
        <w:t> </w:t>
      </w:r>
      <w:r>
        <w:rPr/>
        <w:t>SSP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SBP</w:t>
      </w:r>
      <w:r>
        <w:rPr>
          <w:spacing w:val="-4"/>
        </w:rPr>
        <w:t> </w:t>
      </w:r>
      <w:r>
        <w:rPr/>
        <w:t>computations.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CAO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exclude</w:t>
      </w:r>
      <w:r>
        <w:rPr>
          <w:spacing w:val="-4"/>
        </w:rPr>
        <w:t> </w:t>
      </w:r>
      <w:r>
        <w:rPr/>
        <w:t>veterans’</w:t>
      </w:r>
      <w:r>
        <w:rPr>
          <w:spacing w:val="-4"/>
        </w:rPr>
        <w:t> </w:t>
      </w:r>
      <w:r>
        <w:rPr/>
        <w:t>benefit payments from income and resources when determining eligibility for GA-related MA and MAWD WJS.</w:t>
      </w:r>
    </w:p>
    <w:p>
      <w:pPr>
        <w:pStyle w:val="BodyText"/>
      </w:pPr>
    </w:p>
    <w:p>
      <w:pPr>
        <w:pStyle w:val="BodyText"/>
        <w:ind w:left="119" w:right="156" w:firstLine="720"/>
      </w:pPr>
      <w:r>
        <w:rPr/>
        <w:t>Veteran’s benefit payments can be entered with Exemption Code 01 – Exempt for MA, to exclude the income or resource for GA-related MA and MAWD WJS only cases.</w:t>
      </w:r>
      <w:r>
        <w:rPr>
          <w:spacing w:val="75"/>
        </w:rPr>
        <w:t> </w:t>
      </w:r>
      <w:r>
        <w:rPr/>
        <w:t>If the income or resource should be counted for other MA budgets on the case, a</w:t>
      </w:r>
      <w:r>
        <w:rPr>
          <w:spacing w:val="-3"/>
        </w:rPr>
        <w:t> </w:t>
      </w:r>
      <w:r>
        <w:rPr/>
        <w:t>manual</w:t>
      </w:r>
      <w:r>
        <w:rPr>
          <w:spacing w:val="-3"/>
        </w:rPr>
        <w:t> </w:t>
      </w:r>
      <w:r>
        <w:rPr/>
        <w:t>override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exclude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GA-related</w:t>
      </w:r>
      <w:r>
        <w:rPr>
          <w:spacing w:val="-3"/>
        </w:rPr>
        <w:t> </w:t>
      </w:r>
      <w:r>
        <w:rPr/>
        <w:t>MA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MAWD</w:t>
      </w:r>
      <w:r>
        <w:rPr>
          <w:spacing w:val="-3"/>
        </w:rPr>
        <w:t> </w:t>
      </w:r>
      <w:r>
        <w:rPr/>
        <w:t>WJS.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single"/>
        </w:rPr>
        <w:t>NEXT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STEPS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0" w:after="0"/>
        <w:ind w:left="1198" w:right="0" w:hanging="358"/>
        <w:jc w:val="left"/>
        <w:rPr>
          <w:sz w:val="24"/>
        </w:rPr>
      </w:pPr>
      <w:r>
        <w:rPr>
          <w:sz w:val="24"/>
        </w:rPr>
        <w:t>Share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members.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40" w:lineRule="auto" w:before="0" w:after="0"/>
        <w:ind w:left="1200" w:right="975" w:hanging="360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4"/>
          <w:sz w:val="24"/>
        </w:rPr>
        <w:t> </w:t>
      </w:r>
      <w:r>
        <w:rPr>
          <w:sz w:val="24"/>
        </w:rPr>
        <w:t>questions</w:t>
      </w:r>
      <w:r>
        <w:rPr>
          <w:spacing w:val="-5"/>
          <w:sz w:val="24"/>
        </w:rPr>
        <w:t> </w:t>
      </w:r>
      <w:r>
        <w:rPr>
          <w:sz w:val="24"/>
        </w:rPr>
        <w:t>regarding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Operations</w:t>
      </w:r>
      <w:r>
        <w:rPr>
          <w:spacing w:val="-5"/>
          <w:sz w:val="24"/>
        </w:rPr>
        <w:t> </w:t>
      </w:r>
      <w:r>
        <w:rPr>
          <w:sz w:val="24"/>
        </w:rPr>
        <w:t>Memorandum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7"/>
          <w:sz w:val="24"/>
        </w:rPr>
        <w:t> </w:t>
      </w:r>
      <w:r>
        <w:rPr>
          <w:sz w:val="24"/>
        </w:rPr>
        <w:t>Area </w:t>
      </w:r>
      <w:r>
        <w:rPr>
          <w:spacing w:val="-2"/>
          <w:sz w:val="24"/>
        </w:rPr>
        <w:t>Manager.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40" w:lineRule="auto" w:before="0" w:after="0"/>
        <w:ind w:left="1200" w:right="561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Operations</w:t>
      </w:r>
      <w:r>
        <w:rPr>
          <w:spacing w:val="-5"/>
          <w:sz w:val="24"/>
        </w:rPr>
        <w:t> </w:t>
      </w:r>
      <w:r>
        <w:rPr>
          <w:sz w:val="24"/>
        </w:rPr>
        <w:t>Memorandum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become</w:t>
      </w:r>
      <w:r>
        <w:rPr>
          <w:spacing w:val="-5"/>
          <w:sz w:val="24"/>
        </w:rPr>
        <w:t> </w:t>
      </w:r>
      <w:r>
        <w:rPr>
          <w:sz w:val="24"/>
        </w:rPr>
        <w:t>obsolete</w:t>
      </w:r>
      <w:r>
        <w:rPr>
          <w:spacing w:val="-5"/>
          <w:sz w:val="24"/>
        </w:rPr>
        <w:t> </w:t>
      </w: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changes</w:t>
      </w:r>
      <w:r>
        <w:rPr>
          <w:spacing w:val="-5"/>
          <w:sz w:val="24"/>
        </w:rPr>
        <w:t> </w:t>
      </w:r>
      <w:r>
        <w:rPr>
          <w:sz w:val="24"/>
        </w:rPr>
        <w:t>to procedures are updated in the handbooks.</w:t>
      </w:r>
    </w:p>
    <w:sectPr>
      <w:pgSz w:w="12240" w:h="15840"/>
      <w:pgMar w:top="64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dhs.pa.gov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PA Department of Public Welfare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dcterms:created xsi:type="dcterms:W3CDTF">2024-10-02T17:00:31Z</dcterms:created>
  <dcterms:modified xsi:type="dcterms:W3CDTF">2024-10-02T17:00:31Z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0x0101007B5D980A251B2B4380715163D8699E92</vt:lpwstr>
  </property>
  <property fmtid="{D5CDD505-2E9C-101B-9397-08002B2CF9AE}" pid="3" name="Created">
    <vt:filetime>2024-09-25T00:00:00Z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2024-10-02T00:00:00Z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/>
  </property>
</Properties>
</file>